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EA" w:rsidRPr="009B6B83" w:rsidRDefault="007536EA" w:rsidP="007536EA">
      <w:pPr>
        <w:spacing w:line="240" w:lineRule="auto"/>
        <w:contextualSpacing/>
        <w:rPr>
          <w:b/>
          <w:sz w:val="24"/>
          <w:szCs w:val="24"/>
        </w:rPr>
      </w:pPr>
      <w:bookmarkStart w:id="0" w:name="_GoBack"/>
      <w:r w:rsidRPr="009B6B83">
        <w:rPr>
          <w:b/>
          <w:sz w:val="24"/>
          <w:szCs w:val="24"/>
        </w:rPr>
        <w:t>Appendix H: Principal</w:t>
      </w:r>
      <w:r>
        <w:rPr>
          <w:b/>
          <w:sz w:val="24"/>
          <w:szCs w:val="24"/>
        </w:rPr>
        <w:t xml:space="preserve"> </w:t>
      </w:r>
      <w:r w:rsidRPr="009B6B83">
        <w:rPr>
          <w:b/>
          <w:sz w:val="24"/>
          <w:szCs w:val="24"/>
        </w:rPr>
        <w:t>- Definitions of Performance Levels</w:t>
      </w:r>
    </w:p>
    <w:bookmarkEnd w:id="0"/>
    <w:p w:rsidR="007536EA" w:rsidRPr="009B6B83" w:rsidRDefault="007536EA" w:rsidP="007536EA">
      <w:pPr>
        <w:spacing w:line="240" w:lineRule="auto"/>
        <w:contextualSpacing/>
        <w:rPr>
          <w:b/>
          <w:sz w:val="24"/>
          <w:szCs w:val="24"/>
        </w:rPr>
      </w:pPr>
    </w:p>
    <w:p w:rsidR="007536EA" w:rsidRPr="002B2F9D" w:rsidRDefault="007536EA" w:rsidP="007536EA">
      <w:pPr>
        <w:keepNext/>
        <w:ind w:right="-108"/>
        <w:outlineLvl w:val="1"/>
        <w:rPr>
          <w:rFonts w:eastAsia="Times New Roman" w:cstheme="minorHAnsi"/>
          <w:b/>
          <w:i/>
          <w:sz w:val="40"/>
          <w:szCs w:val="40"/>
        </w:rPr>
      </w:pPr>
      <w:r w:rsidRPr="002B2F9D">
        <w:rPr>
          <w:rFonts w:eastAsia="Times New Roman" w:cstheme="minorHAnsi"/>
          <w:b/>
          <w:i/>
          <w:sz w:val="40"/>
          <w:szCs w:val="40"/>
        </w:rPr>
        <w:t xml:space="preserve">Definitions of Performance Levels </w:t>
      </w:r>
    </w:p>
    <w:p w:rsidR="007536EA" w:rsidRPr="009B6B83" w:rsidRDefault="007536EA" w:rsidP="007536EA">
      <w:pPr>
        <w:ind w:right="90"/>
        <w:rPr>
          <w:rFonts w:eastAsia="Times New Roman" w:cstheme="minorHAnsi"/>
        </w:rPr>
      </w:pPr>
      <w:r w:rsidRPr="009B6B83">
        <w:rPr>
          <w:rFonts w:eastAsia="Times New Roman" w:cstheme="minorHAnsi"/>
        </w:rPr>
        <w:t xml:space="preserve">The rubric provides a description of four levels of how well the standards (i.e., duties) </w:t>
      </w:r>
      <w:proofErr w:type="gramStart"/>
      <w:r w:rsidRPr="009B6B83">
        <w:rPr>
          <w:rFonts w:eastAsia="Times New Roman" w:cstheme="minorHAnsi"/>
        </w:rPr>
        <w:t>are performed</w:t>
      </w:r>
      <w:proofErr w:type="gramEnd"/>
      <w:r w:rsidRPr="009B6B83">
        <w:rPr>
          <w:rFonts w:eastAsia="Times New Roman" w:cstheme="minorHAnsi"/>
        </w:rPr>
        <w:t xml:space="preserve">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proofErr w:type="spellStart"/>
      <w:r w:rsidRPr="009B6B83">
        <w:rPr>
          <w:rFonts w:eastAsia="Times New Roman" w:cstheme="minorHAnsi"/>
          <w:i/>
          <w:iCs/>
        </w:rPr>
        <w:t>ote</w:t>
      </w:r>
      <w:proofErr w:type="spellEnd"/>
      <w:r w:rsidRPr="009B6B83">
        <w:rPr>
          <w:rFonts w:eastAsia="Times New Roman" w:cstheme="minorHAnsi"/>
          <w:i/>
          <w:iCs/>
        </w:rPr>
        <w:t>:</w:t>
      </w:r>
      <w:r w:rsidRPr="009B6B83">
        <w:rPr>
          <w:rFonts w:cstheme="minorHAnsi"/>
        </w:rPr>
        <w:t xml:space="preserve"> Principals </w:t>
      </w:r>
      <w:proofErr w:type="gramStart"/>
      <w:r w:rsidRPr="009B6B83">
        <w:rPr>
          <w:rFonts w:cstheme="minorHAnsi"/>
        </w:rPr>
        <w:t>are expected</w:t>
      </w:r>
      <w:proofErr w:type="gramEnd"/>
      <w:r w:rsidRPr="009B6B83">
        <w:rPr>
          <w:rFonts w:cstheme="minorHAnsi"/>
        </w:rPr>
        <w:t xml:space="preserve"> to perform at the </w:t>
      </w:r>
      <w:r w:rsidRPr="009B6B83">
        <w:rPr>
          <w:rFonts w:cstheme="minorHAnsi"/>
          <w:i/>
        </w:rPr>
        <w:t xml:space="preserve">accomplished </w:t>
      </w:r>
      <w:r w:rsidRPr="009B6B83">
        <w:rPr>
          <w:rFonts w:cstheme="minorHAnsi"/>
        </w:rPr>
        <w:t xml:space="preserve">level.  </w:t>
      </w:r>
    </w:p>
    <w:p w:rsidR="007536EA" w:rsidRPr="009B6B83" w:rsidRDefault="007536EA" w:rsidP="007536EA">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7536EA" w:rsidRPr="009B6B83" w:rsidTr="00F450E5">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rsidR="007536EA" w:rsidRPr="009B6B83" w:rsidRDefault="007536EA" w:rsidP="00F450E5">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rsidR="007536EA" w:rsidRPr="009B6B83" w:rsidRDefault="007536EA" w:rsidP="00F450E5">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rsidR="007536EA" w:rsidRPr="009B6B83" w:rsidRDefault="007536EA" w:rsidP="00F450E5">
            <w:pPr>
              <w:rPr>
                <w:rFonts w:eastAsiaTheme="minorEastAsia" w:cstheme="minorHAnsi"/>
                <w:b/>
              </w:rPr>
            </w:pPr>
            <w:r w:rsidRPr="009B6B83">
              <w:rPr>
                <w:rFonts w:eastAsiaTheme="minorEastAsia" w:cstheme="minorHAnsi"/>
                <w:b/>
              </w:rPr>
              <w:t>Definition</w:t>
            </w:r>
          </w:p>
        </w:tc>
      </w:tr>
      <w:tr w:rsidR="007536EA" w:rsidRPr="009B6B83" w:rsidTr="00F450E5">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rsidR="007536EA" w:rsidRPr="009B6B83" w:rsidRDefault="007536EA" w:rsidP="00F450E5">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performing at this level maintains performance, accomplishments, and behaviors that consistently and considerably surpass the established performance standard, and does so in a manner that exemplifies the school’s mission and goals. This rating </w:t>
            </w:r>
            <w:proofErr w:type="gramStart"/>
            <w:r w:rsidRPr="009B6B83">
              <w:rPr>
                <w:rFonts w:eastAsiaTheme="minorEastAsia" w:cstheme="minorHAnsi"/>
                <w:color w:val="000000" w:themeColor="text1"/>
                <w:sz w:val="20"/>
              </w:rPr>
              <w:t>is reserved</w:t>
            </w:r>
            <w:proofErr w:type="gramEnd"/>
            <w:r w:rsidRPr="009B6B83">
              <w:rPr>
                <w:rFonts w:eastAsiaTheme="minorEastAsia" w:cstheme="minorHAnsi"/>
                <w:color w:val="000000" w:themeColor="text1"/>
                <w:sz w:val="20"/>
              </w:rPr>
              <w:t xml:space="preserve"> for performance that is truly exemplary.</w:t>
            </w:r>
          </w:p>
        </w:tc>
        <w:tc>
          <w:tcPr>
            <w:tcW w:w="4680" w:type="dxa"/>
            <w:tcBorders>
              <w:top w:val="single" w:sz="12" w:space="0" w:color="auto"/>
            </w:tcBorders>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rsidR="007536EA" w:rsidRPr="009B6B83" w:rsidRDefault="007536EA" w:rsidP="007536EA">
            <w:pPr>
              <w:numPr>
                <w:ilvl w:val="0"/>
                <w:numId w:val="2"/>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rsidR="007536EA" w:rsidRPr="009B6B83" w:rsidRDefault="007536EA" w:rsidP="007536EA">
            <w:pPr>
              <w:numPr>
                <w:ilvl w:val="0"/>
                <w:numId w:val="2"/>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rsidR="007536EA" w:rsidRPr="009B6B83" w:rsidRDefault="007536EA" w:rsidP="007536EA">
            <w:pPr>
              <w:numPr>
                <w:ilvl w:val="0"/>
                <w:numId w:val="2"/>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7536EA" w:rsidRPr="009B6B83" w:rsidTr="00F450E5">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rsidR="007536EA" w:rsidRPr="009B6B83" w:rsidRDefault="007536EA" w:rsidP="00F450E5">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rsidR="007536EA" w:rsidRPr="009B6B83" w:rsidRDefault="007536EA" w:rsidP="00F450E5">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7536EA" w:rsidRPr="009B6B83" w:rsidTr="00F450E5">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rsidR="007536EA" w:rsidRPr="009B6B83" w:rsidRDefault="007536EA" w:rsidP="00F450E5">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proofErr w:type="gramStart"/>
            <w:r w:rsidRPr="009B6B83">
              <w:rPr>
                <w:rFonts w:eastAsiaTheme="minorEastAsia" w:cstheme="minorHAnsi"/>
                <w:color w:val="000000" w:themeColor="text1"/>
                <w:sz w:val="20"/>
              </w:rPr>
              <w:t>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w:t>
            </w:r>
            <w:proofErr w:type="gramEnd"/>
            <w:r w:rsidRPr="009B6B83">
              <w:rPr>
                <w:rFonts w:eastAsiaTheme="minorEastAsia" w:cstheme="minorHAnsi"/>
                <w:color w:val="000000" w:themeColor="text1"/>
                <w:sz w:val="20"/>
              </w:rPr>
              <w:t xml:space="preserve"> </w:t>
            </w:r>
          </w:p>
        </w:tc>
        <w:tc>
          <w:tcPr>
            <w:tcW w:w="4680" w:type="dxa"/>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rsidR="007536EA" w:rsidRPr="009B6B83" w:rsidRDefault="007536EA" w:rsidP="00F450E5">
            <w:pPr>
              <w:spacing w:before="40" w:after="40" w:line="240" w:lineRule="exact"/>
              <w:rPr>
                <w:rFonts w:eastAsiaTheme="minorEastAsia" w:cstheme="minorHAnsi"/>
                <w:color w:val="000000" w:themeColor="text1"/>
                <w:sz w:val="20"/>
              </w:rPr>
            </w:pPr>
          </w:p>
        </w:tc>
      </w:tr>
      <w:tr w:rsidR="007536EA" w:rsidRPr="009B6B83" w:rsidTr="00F450E5">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rsidR="007536EA" w:rsidRPr="009B6B83" w:rsidRDefault="007536EA" w:rsidP="00F450E5">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rsidR="007536EA" w:rsidRPr="009B6B83" w:rsidRDefault="007536EA" w:rsidP="00F450E5">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rsidR="007536EA" w:rsidRPr="009B6B83" w:rsidRDefault="007536EA" w:rsidP="007536EA">
            <w:pPr>
              <w:numPr>
                <w:ilvl w:val="0"/>
                <w:numId w:val="1"/>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rsidR="003D5F5B" w:rsidRDefault="003D5F5B"/>
    <w:sectPr w:rsidR="003D5F5B" w:rsidSect="00753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EA"/>
    <w:rsid w:val="003D5F5B"/>
    <w:rsid w:val="0075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B656"/>
  <w15:chartTrackingRefBased/>
  <w15:docId w15:val="{564E6683-192C-4B2C-A20B-5A983BCB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Scott</dc:creator>
  <cp:keywords/>
  <dc:description/>
  <cp:lastModifiedBy>Pace, Scott</cp:lastModifiedBy>
  <cp:revision>1</cp:revision>
  <dcterms:created xsi:type="dcterms:W3CDTF">2020-12-14T13:56:00Z</dcterms:created>
  <dcterms:modified xsi:type="dcterms:W3CDTF">2020-12-14T13:57:00Z</dcterms:modified>
</cp:coreProperties>
</file>